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pacing w:lineRule="atLeast" w:line="348" w:before="280" w:after="280"/>
        <w:jc w:val="center"/>
        <w:rPr>
          <w:b/>
          <w:color w:val="800000"/>
          <w:sz w:val="28"/>
          <w:szCs w:val="28"/>
          <w:lang w:val="en-US"/>
        </w:rPr>
      </w:pPr>
      <w:bookmarkStart w:id="0" w:name="__DdeLink__2066_1677756216"/>
      <w:r>
        <w:rPr>
          <w:b/>
          <w:color w:val="800000"/>
          <w:sz w:val="28"/>
          <w:szCs w:val="28"/>
        </w:rPr>
        <w:t xml:space="preserve">Шкала </w:t>
      </w:r>
      <w:bookmarkEnd w:id="0"/>
      <w:r>
        <w:rPr>
          <w:b/>
          <w:color w:val="800000"/>
          <w:sz w:val="28"/>
          <w:szCs w:val="28"/>
          <w:lang w:val="en-US"/>
        </w:rPr>
        <w:t>TIMI</w:t>
      </w:r>
    </w:p>
    <w:p>
      <w:pPr>
        <w:pStyle w:val="NormalWeb"/>
        <w:spacing w:lineRule="atLeast" w:line="348" w:before="280" w:after="280"/>
        <w:jc w:val="center"/>
        <w:rPr>
          <w:color w:val="800000"/>
          <w:sz w:val="28"/>
          <w:szCs w:val="28"/>
          <w:shd w:fill="FFFFFF" w:val="clear"/>
        </w:rPr>
      </w:pPr>
      <w:r>
        <w:rPr>
          <w:color w:val="800000"/>
          <w:sz w:val="28"/>
          <w:szCs w:val="28"/>
          <w:shd w:fill="FFFFFF" w:val="clear"/>
        </w:rPr>
        <w:t>(</w:t>
      </w:r>
      <w:r>
        <w:rPr>
          <w:b/>
          <w:color w:val="800000"/>
          <w:sz w:val="28"/>
          <w:szCs w:val="28"/>
          <w:shd w:fill="FFFFFF" w:val="clear"/>
          <w:lang w:val="en-US"/>
        </w:rPr>
        <w:t>T</w:t>
      </w:r>
      <w:r>
        <w:rPr>
          <w:color w:val="800000"/>
          <w:sz w:val="28"/>
          <w:szCs w:val="28"/>
          <w:shd w:fill="FFFFFF" w:val="clear"/>
          <w:lang w:val="en-US"/>
        </w:rPr>
        <w:t>hrombolisis</w:t>
      </w:r>
      <w:r>
        <w:rPr>
          <w:color w:val="800000"/>
          <w:sz w:val="28"/>
          <w:szCs w:val="28"/>
          <w:shd w:fill="FFFFFF" w:val="clear"/>
        </w:rPr>
        <w:t xml:space="preserve"> </w:t>
      </w:r>
      <w:r>
        <w:rPr>
          <w:b/>
          <w:color w:val="800000"/>
          <w:sz w:val="28"/>
          <w:szCs w:val="28"/>
          <w:shd w:fill="FFFFFF" w:val="clear"/>
          <w:lang w:val="en-US"/>
        </w:rPr>
        <w:t>I</w:t>
      </w:r>
      <w:r>
        <w:rPr>
          <w:color w:val="800000"/>
          <w:sz w:val="28"/>
          <w:szCs w:val="28"/>
          <w:shd w:fill="FFFFFF" w:val="clear"/>
          <w:lang w:val="en-US"/>
        </w:rPr>
        <w:t>n</w:t>
      </w:r>
      <w:r>
        <w:rPr>
          <w:color w:val="800000"/>
          <w:sz w:val="28"/>
          <w:szCs w:val="28"/>
          <w:shd w:fill="FFFFFF" w:val="clear"/>
        </w:rPr>
        <w:t xml:space="preserve"> </w:t>
      </w:r>
      <w:r>
        <w:rPr>
          <w:b/>
          <w:color w:val="800000"/>
          <w:sz w:val="28"/>
          <w:szCs w:val="28"/>
          <w:shd w:fill="FFFFFF" w:val="clear"/>
          <w:lang w:val="en-US"/>
        </w:rPr>
        <w:t>M</w:t>
      </w:r>
      <w:r>
        <w:rPr>
          <w:color w:val="800000"/>
          <w:sz w:val="28"/>
          <w:szCs w:val="28"/>
          <w:shd w:fill="FFFFFF" w:val="clear"/>
          <w:lang w:val="en-US"/>
        </w:rPr>
        <w:t>yocardial</w:t>
      </w:r>
      <w:r>
        <w:rPr>
          <w:color w:val="800000"/>
          <w:sz w:val="28"/>
          <w:szCs w:val="28"/>
          <w:shd w:fill="FFFFFF" w:val="clear"/>
        </w:rPr>
        <w:t xml:space="preserve"> </w:t>
      </w:r>
      <w:r>
        <w:rPr>
          <w:b/>
          <w:color w:val="800000"/>
          <w:sz w:val="28"/>
          <w:szCs w:val="28"/>
          <w:shd w:fill="FFFFFF" w:val="clear"/>
          <w:lang w:val="en-US"/>
        </w:rPr>
        <w:t>I</w:t>
      </w:r>
      <w:r>
        <w:rPr>
          <w:color w:val="800000"/>
          <w:sz w:val="28"/>
          <w:szCs w:val="28"/>
          <w:shd w:fill="FFFFFF" w:val="clear"/>
          <w:lang w:val="en-US"/>
        </w:rPr>
        <w:t>nfarction</w:t>
      </w:r>
      <w:r>
        <w:rPr>
          <w:color w:val="800000"/>
          <w:sz w:val="28"/>
          <w:szCs w:val="28"/>
          <w:shd w:fill="FFFFFF" w:val="clear"/>
        </w:rPr>
        <w:t>)</w:t>
      </w:r>
    </w:p>
    <w:p>
      <w:pPr>
        <w:pStyle w:val="NormalWeb"/>
        <w:spacing w:before="280" w:after="280"/>
        <w:jc w:val="both"/>
        <w:rPr>
          <w:color w:val="000000"/>
          <w:shd w:fill="FFFFFF" w:val="clear"/>
        </w:rPr>
      </w:pPr>
      <w:r>
        <w:rPr>
          <w:color w:val="000000"/>
        </w:rPr>
        <w:t xml:space="preserve">используется для стратификации 2-недельного риска </w:t>
      </w:r>
      <w:r>
        <w:rPr>
          <w:color w:val="000000"/>
          <w:shd w:fill="FFFFFF" w:val="clear"/>
        </w:rPr>
        <w:t>смертельных и ишемических коронарных событий у пациентов с ОКС</w:t>
      </w:r>
      <w:r>
        <w:rPr>
          <w:color w:val="000000"/>
        </w:rPr>
        <w:t xml:space="preserve"> </w:t>
      </w:r>
      <w:r>
        <w:rPr>
          <w:bCs/>
          <w:color w:val="333333"/>
        </w:rPr>
        <w:t>2-недельного риска при остром инфаркте миокарда без подъема сегмента ST на ЭКГ</w:t>
      </w:r>
      <w:r>
        <w:rPr>
          <w:color w:val="000000"/>
        </w:rPr>
        <w:t>. П</w:t>
      </w:r>
      <w:r>
        <w:rPr>
          <w:color w:val="000000"/>
          <w:shd w:fill="FFFFFF" w:val="clear"/>
        </w:rPr>
        <w:t>редложенна Atman et al. в 2000 г., основанная на данных двух известных крупномасштабных исследований TIMI-11B и ESSENCE. Шкала учитывает семь основных факторов риска: возраст старше 65 лет; наличие как минимум 3 факторов риска ИБС (гиперхолестеринемия, семейный анамнез ИБС, СД, АГ); ранее выявленный 50% и более стеноз коронарной артерии; отклонение сегмента ST; два приступа стенокардии и более в предыдущие 24 часа; прием аспирина в течение последних семи суток; повышенный уровень кардиальных биомаркеров в сыворотке крови. Каждый из факторов оценен в один балл. После математической обработки составлена шкала риска смерти и ИМ в ближайшие две недели. При увеличении количества баллов (факторов риска) риск увеличивается с 4,7 до 40,9%.</w:t>
      </w:r>
    </w:p>
    <w:p>
      <w:pPr>
        <w:pStyle w:val="NormalWeb"/>
        <w:spacing w:before="280" w:after="28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Web"/>
        <w:spacing w:before="280" w:after="28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Факторы риска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0"/>
      </w:tblGrid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Возраст &gt; 65 лет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Наличие трех и более факторов риска атеросклероза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Ранее выявленный стеноз коронарной артерии более 50% диаметра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Подъем или депрессия сегмента ST на ЭКГ при поступлении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Два и более приступа стенокардии за последние 24 часа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Прием аспирина в течение последних 7 суток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w="5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Повышение маркеров некроза миокарда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both"/>
              <w:rPr>
                <w:color w:val="000000"/>
                <w:szCs w:val="20"/>
                <w:shd w:fill="FFFFFF" w:val="clear"/>
              </w:rPr>
            </w:pPr>
            <w:r>
              <w:rPr>
                <w:color w:val="000000"/>
                <w:szCs w:val="20"/>
                <w:shd w:fill="FFFFFF" w:val="clear"/>
              </w:rPr>
            </w:r>
          </w:p>
        </w:tc>
      </w:tr>
    </w:tbl>
    <w:p>
      <w:pPr>
        <w:pStyle w:val="NormalWeb"/>
        <w:spacing w:before="280" w:after="28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pacing w:lineRule="atLeast" w:line="348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больным высокого риска следует отнести тех, у кого сумма баллов по системе TIMI превышает 4.</w:t>
      </w:r>
    </w:p>
    <w:p>
      <w:pPr>
        <w:pStyle w:val="Normal"/>
        <w:spacing w:lineRule="atLeast" w:line="348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Высокий балл по шкале TIMI говорит о высоком риске смерти, инфаркта миокарда и повторной ишемии, требующей реваскуляризации.</w:t>
      </w:r>
    </w:p>
    <w:p>
      <w:pPr>
        <w:pStyle w:val="Normal"/>
        <w:spacing w:lineRule="atLeast" w:line="348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Шкала оценки риска TIMI менее точна в предсказании событий, чем шкала GRACE.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157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2">
    <w:name w:val="Заголовок 2"/>
    <w:uiPriority w:val="99"/>
    <w:qFormat/>
    <w:link w:val="Heading2Char"/>
    <w:rsid w:val="001e49ad"/>
    <w:basedOn w:val="Normal"/>
    <w:pPr>
      <w:outlineLvl w:val="1"/>
    </w:pPr>
    <w:rPr/>
  </w:style>
  <w:style w:type="paragraph" w:styleId="3">
    <w:name w:val="Заголовок 3"/>
    <w:uiPriority w:val="99"/>
    <w:qFormat/>
    <w:link w:val="Heading3Char"/>
    <w:rsid w:val="0018257d"/>
    <w:basedOn w:val="Normal"/>
    <w:next w:val="Normal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uiPriority w:val="99"/>
    <w:link w:val="Heading2"/>
    <w:locked/>
    <w:rsid w:val="001e49ad"/>
    <w:basedOn w:val="DefaultParagraphFont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uiPriority w:val="99"/>
    <w:link w:val="Heading3"/>
    <w:locked/>
    <w:rsid w:val="0018257d"/>
    <w:basedOn w:val="DefaultParagraphFont"/>
    <w:rPr>
      <w:rFonts w:ascii="Cambria" w:hAnsi="Cambria" w:cs="Times New Roman"/>
      <w:b/>
      <w:bCs/>
      <w:color w:val="4F81BD"/>
    </w:rPr>
  </w:style>
  <w:style w:type="character" w:styleId="Appleconvertedspace" w:customStyle="1">
    <w:name w:val="apple-converted-space"/>
    <w:uiPriority w:val="99"/>
    <w:rsid w:val="00832f0e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locked/>
    <w:rsid w:val="0076131c"/>
    <w:basedOn w:val="DefaultParagraphFont"/>
    <w:rPr>
      <w:rFonts w:ascii="Tahoma" w:hAnsi="Tahoma" w:cs="Tahoma"/>
      <w:sz w:val="16"/>
      <w:szCs w:val="16"/>
    </w:rPr>
  </w:style>
  <w:style w:type="character" w:styleId="Style12">
    <w:name w:val="Интернет-ссылка"/>
    <w:uiPriority w:val="99"/>
    <w:semiHidden/>
    <w:rsid w:val="00ab2c2c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wheadline" w:customStyle="1">
    <w:name w:val="mw-headline"/>
    <w:uiPriority w:val="99"/>
    <w:rsid w:val="001e49ad"/>
    <w:basedOn w:val="DefaultParagraphFont"/>
    <w:rPr>
      <w:rFonts w:cs="Times New Roman"/>
    </w:rPr>
  </w:style>
  <w:style w:type="character" w:styleId="Mweditsection" w:customStyle="1">
    <w:name w:val="mw-editsection"/>
    <w:uiPriority w:val="99"/>
    <w:rsid w:val="001e49ad"/>
    <w:basedOn w:val="DefaultParagraphFont"/>
    <w:rPr>
      <w:rFonts w:cs="Times New Roman"/>
    </w:rPr>
  </w:style>
  <w:style w:type="character" w:styleId="Mweditsectionbracket" w:customStyle="1">
    <w:name w:val="mw-editsection-bracket"/>
    <w:uiPriority w:val="99"/>
    <w:rsid w:val="001e49ad"/>
    <w:basedOn w:val="DefaultParagraphFont"/>
    <w:rPr>
      <w:rFonts w:cs="Times New Roman"/>
    </w:rPr>
  </w:style>
  <w:style w:type="character" w:styleId="Mweditsectiondivider" w:customStyle="1">
    <w:name w:val="mw-editsection-divider"/>
    <w:uiPriority w:val="99"/>
    <w:rsid w:val="001e49ad"/>
    <w:basedOn w:val="DefaultParagraphFont"/>
    <w:rPr>
      <w:rFonts w:cs="Times New Roman"/>
    </w:rPr>
  </w:style>
  <w:style w:type="character" w:styleId="ZTopofFormChar" w:customStyle="1">
    <w:name w:val="z-Top of Form Char"/>
    <w:uiPriority w:val="99"/>
    <w:semiHidden/>
    <w:link w:val="z-Top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ZBottomofFormChar" w:customStyle="1">
    <w:name w:val="z-Bottom of Form Char"/>
    <w:uiPriority w:val="99"/>
    <w:semiHidden/>
    <w:link w:val="z-Bottom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uiPriority w:val="99"/>
    <w:qFormat/>
    <w:rsid w:val="00712a6d"/>
    <w:basedOn w:val="DefaultParagraphFont"/>
    <w:rPr>
      <w:rFonts w:cs="Times New Roman"/>
      <w:b/>
      <w:bCs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style1"/>
    <w:uiPriority w:val="99"/>
    <w:rsid w:val="0076131c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link w:val="BalloonTextChar"/>
    <w:rsid w:val="0076131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76131c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rsid w:val="001e49ad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uiPriority w:val="99"/>
    <w:semiHidden/>
    <w:link w:val="z-TopofFormChar"/>
    <w:rsid w:val="0018257d"/>
    <w:basedOn w:val="Normal"/>
    <w:next w:val="Normal"/>
    <w:pPr>
      <w:pBdr>
        <w:top w:val="nil"/>
        <w:left w:val="nil"/>
        <w:bottom w:val="single" w:sz="6" w:space="1" w:color="00000A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uiPriority w:val="99"/>
    <w:semiHidden/>
    <w:link w:val="z-BottomofFormChar"/>
    <w:rsid w:val="0018257d"/>
    <w:basedOn w:val="Normal"/>
    <w:next w:val="Normal"/>
    <w:pPr>
      <w:pBdr>
        <w:top w:val="single" w:sz="6" w:space="1" w:color="00000A"/>
        <w:left w:val="nil"/>
        <w:bottom w:val="nil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02a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2015-01-28T12:03:00Z</dcterms:created>
  <dc:creator>Марина</dc:creator>
  <dc:language>ru-RU</dc:language>
  <cp:lastModifiedBy>SamLab.ws</cp:lastModifiedBy>
  <dcterms:modified xsi:type="dcterms:W3CDTF">2015-01-28T12:43:00Z</dcterms:modified>
  <cp:revision>6</cp:revision>
  <dc:title>1</dc:title>
</cp:coreProperties>
</file>